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B1" w:rsidRPr="00B839DA" w:rsidRDefault="00866AA7" w:rsidP="00866AA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0"/>
          <w:szCs w:val="20"/>
        </w:rPr>
        <w:t>CRZPU/3/2021</w:t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</w:t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>Załącznik 2 do S</w:t>
      </w:r>
      <w:r w:rsidR="00E33CB1" w:rsidRPr="00B839DA">
        <w:rPr>
          <w:rFonts w:asciiTheme="majorHAnsi" w:hAnsiTheme="majorHAnsi" w:cs="Arial-BoldMT"/>
          <w:b/>
          <w:bCs/>
          <w:sz w:val="20"/>
          <w:szCs w:val="20"/>
        </w:rPr>
        <w:t>WZ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3D4AA4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>I Dostawy dla grup taryfowych:</w:t>
      </w:r>
    </w:p>
    <w:p w:rsidR="0048748F" w:rsidRPr="00EB1174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</w:p>
    <w:p w:rsidR="00D926FB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grup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y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taryfowej W-</w:t>
      </w:r>
      <w:r w:rsidR="00B21C32" w:rsidRPr="00EB1174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EB1174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E33CB1" w:rsidRPr="00EB1174" w:rsidRDefault="00883DA9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moc umowna: </w:t>
      </w:r>
      <w:r w:rsidR="00E33CB1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110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kWh/h, 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>p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rognozowane zużycie p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aliwa </w:t>
      </w:r>
      <w:r w:rsidR="007731FC" w:rsidRPr="00EB1174">
        <w:rPr>
          <w:rFonts w:asciiTheme="majorHAnsi" w:hAnsiTheme="majorHAnsi" w:cs="Arial-BoldMT"/>
          <w:b/>
          <w:bCs/>
          <w:sz w:val="20"/>
          <w:szCs w:val="20"/>
        </w:rPr>
        <w:t>gazowego w okresie od 01.0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1.2022</w:t>
      </w:r>
      <w:r w:rsidR="007731FC" w:rsidRPr="00EB1174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.2022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r</w:t>
      </w:r>
      <w:r w:rsidR="003D4AA4" w:rsidRPr="00D23018">
        <w:rPr>
          <w:rFonts w:asciiTheme="majorHAnsi" w:hAnsiTheme="majorHAnsi" w:cs="Arial-BoldMT"/>
          <w:b/>
          <w:bCs/>
          <w:sz w:val="20"/>
          <w:szCs w:val="20"/>
        </w:rPr>
        <w:t>.:</w:t>
      </w:r>
      <w:r w:rsidR="00E33CB1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23754F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D23018">
        <w:rPr>
          <w:rFonts w:asciiTheme="majorHAnsi" w:hAnsiTheme="majorHAnsi" w:cs="Arial-BoldMT"/>
          <w:b/>
          <w:bCs/>
          <w:sz w:val="20"/>
          <w:szCs w:val="20"/>
        </w:rPr>
        <w:t>1</w:t>
      </w:r>
      <w:r w:rsidR="0023754F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5</w:t>
      </w:r>
      <w:r w:rsidR="00B21C32" w:rsidRPr="00D23018">
        <w:rPr>
          <w:rFonts w:asciiTheme="majorHAnsi" w:hAnsiTheme="majorHAnsi" w:cs="Arial-BoldMT"/>
          <w:b/>
          <w:bCs/>
          <w:sz w:val="20"/>
          <w:szCs w:val="20"/>
        </w:rPr>
        <w:t>00</w:t>
      </w:r>
      <w:r w:rsidR="00D562A8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D562A8" w:rsidRPr="00D23018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CE6612" w:rsidRPr="00D23018">
        <w:rPr>
          <w:rFonts w:asciiTheme="majorHAnsi" w:hAnsiTheme="majorHAnsi" w:cs="Arial-BoldMT"/>
          <w:b/>
          <w:bCs/>
          <w:sz w:val="20"/>
          <w:szCs w:val="20"/>
        </w:rPr>
        <w:t>.</w:t>
      </w:r>
      <w:r w:rsidR="00F37D26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E33CB1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80"/>
        <w:gridCol w:w="3523"/>
        <w:gridCol w:w="2268"/>
        <w:gridCol w:w="2286"/>
        <w:gridCol w:w="2483"/>
      </w:tblGrid>
      <w:tr w:rsidR="00233E02" w:rsidRPr="00EB1174" w:rsidTr="000941B3">
        <w:trPr>
          <w:trHeight w:val="253"/>
        </w:trPr>
        <w:tc>
          <w:tcPr>
            <w:tcW w:w="980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268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286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483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EB1174" w:rsidTr="000941B3">
        <w:trPr>
          <w:trHeight w:val="252"/>
        </w:trPr>
        <w:tc>
          <w:tcPr>
            <w:tcW w:w="980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483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EB1174" w:rsidTr="000941B3">
        <w:trPr>
          <w:trHeight w:val="447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268" w:type="dxa"/>
          </w:tcPr>
          <w:p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5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28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0941B3">
        <w:trPr>
          <w:trHeight w:val="567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</w:p>
          <w:p w:rsidR="00233E02" w:rsidRPr="00EB1174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268" w:type="dxa"/>
          </w:tcPr>
          <w:p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5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28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0941B3">
        <w:trPr>
          <w:trHeight w:val="713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</w:p>
          <w:p w:rsidR="00233E02" w:rsidRPr="00EB1174" w:rsidRDefault="00233E02" w:rsidP="00EE1346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2268" w:type="dxa"/>
          </w:tcPr>
          <w:p w:rsidR="007F5B18" w:rsidRPr="00EB1174" w:rsidRDefault="00E8173C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7F5B18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 </w:t>
            </w:r>
          </w:p>
          <w:p w:rsidR="00233E02" w:rsidRPr="00EB1174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228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0941B3">
        <w:trPr>
          <w:trHeight w:val="850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</w:p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268" w:type="dxa"/>
          </w:tcPr>
          <w:p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228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666AEA">
        <w:trPr>
          <w:trHeight w:val="393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077" w:type="dxa"/>
            <w:gridSpan w:val="3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483" w:type="dxa"/>
          </w:tcPr>
          <w:p w:rsidR="00233E02" w:rsidRPr="00EB1174" w:rsidRDefault="00B21C32" w:rsidP="003D4AA4">
            <w:pPr>
              <w:rPr>
                <w:rFonts w:asciiTheme="majorHAnsi" w:hAnsiTheme="majorHAnsi" w:cs="Arial-BoldMT"/>
                <w:b/>
                <w:bCs/>
              </w:rPr>
            </w:pPr>
            <w:r w:rsidRPr="00EB1174"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3D4AA4" w:rsidRPr="00EB1174" w:rsidRDefault="003D4AA4" w:rsidP="003D4AA4">
      <w:pPr>
        <w:rPr>
          <w:rFonts w:asciiTheme="majorHAnsi" w:hAnsiTheme="majorHAnsi" w:cs="Arial-BoldMT"/>
          <w:bCs/>
        </w:rPr>
      </w:pPr>
    </w:p>
    <w:p w:rsidR="003D4AA4" w:rsidRPr="00EB1174" w:rsidRDefault="003D4AA4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883DA9" w:rsidRPr="00F35F97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D926FB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W-5</w:t>
      </w:r>
      <w:r w:rsidR="00AF5A34" w:rsidRPr="00F35F97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moc umowna: 165 kWh/h, prognozowane zużycie paliwa gazowego w okresie od 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01.01.2022</w:t>
      </w:r>
      <w:r w:rsidR="007731FC" w:rsidRPr="00F35F97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.2022</w:t>
      </w: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r. :  </w:t>
      </w:r>
      <w:r w:rsidR="00E0242A" w:rsidRPr="00E0242A">
        <w:rPr>
          <w:rFonts w:asciiTheme="majorHAnsi" w:hAnsiTheme="majorHAnsi" w:cs="Arial-BoldMT"/>
          <w:b/>
          <w:bCs/>
          <w:sz w:val="20"/>
          <w:szCs w:val="20"/>
        </w:rPr>
        <w:t>478</w:t>
      </w:r>
      <w:r w:rsidR="00DE07CB">
        <w:rPr>
          <w:rFonts w:asciiTheme="majorHAnsi" w:hAnsiTheme="majorHAnsi" w:cs="Arial-BoldMT"/>
          <w:b/>
          <w:bCs/>
          <w:sz w:val="20"/>
          <w:szCs w:val="20"/>
        </w:rPr>
        <w:t> </w:t>
      </w:r>
      <w:r w:rsidR="00E0242A" w:rsidRPr="00E0242A">
        <w:rPr>
          <w:rFonts w:asciiTheme="majorHAnsi" w:hAnsiTheme="majorHAnsi" w:cs="Arial-BoldMT"/>
          <w:b/>
          <w:bCs/>
          <w:sz w:val="20"/>
          <w:szCs w:val="20"/>
        </w:rPr>
        <w:t>954</w:t>
      </w:r>
      <w:r w:rsidR="00DE07CB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Pr="00E0242A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2B3421">
        <w:rPr>
          <w:rFonts w:asciiTheme="majorHAnsi" w:hAnsiTheme="majorHAnsi" w:cs="Arial-BoldMT"/>
          <w:b/>
          <w:bCs/>
          <w:color w:val="FF0000"/>
          <w:sz w:val="20"/>
          <w:szCs w:val="20"/>
        </w:rPr>
        <w:t xml:space="preserve"> 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</w:rPr>
      </w:pP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35"/>
        <w:gridCol w:w="3284"/>
        <w:gridCol w:w="2552"/>
        <w:gridCol w:w="2786"/>
        <w:gridCol w:w="2371"/>
      </w:tblGrid>
      <w:tr w:rsidR="00233E02" w:rsidRPr="00F35F97" w:rsidTr="000941B3">
        <w:trPr>
          <w:trHeight w:val="279"/>
        </w:trPr>
        <w:tc>
          <w:tcPr>
            <w:tcW w:w="935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284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552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786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371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F35F97" w:rsidTr="000941B3">
        <w:trPr>
          <w:trHeight w:val="277"/>
        </w:trPr>
        <w:tc>
          <w:tcPr>
            <w:tcW w:w="935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284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:rsidTr="000941B3">
        <w:trPr>
          <w:trHeight w:val="286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284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552" w:type="dxa"/>
          </w:tcPr>
          <w:p w:rsidR="00233E02" w:rsidRPr="00F35F97" w:rsidRDefault="00DE07CB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478 954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78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0941B3">
        <w:trPr>
          <w:trHeight w:val="49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84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552" w:type="dxa"/>
          </w:tcPr>
          <w:p w:rsidR="00233E02" w:rsidRPr="00F35F97" w:rsidRDefault="00DE07CB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478 954 </w:t>
            </w:r>
            <w:r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78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0941B3">
        <w:trPr>
          <w:trHeight w:val="557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284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552" w:type="dxa"/>
          </w:tcPr>
          <w:p w:rsidR="00233E02" w:rsidRPr="00F35F97" w:rsidRDefault="0044213C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 w:rsidR="00D761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x 165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1 445 400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278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0941B3">
        <w:trPr>
          <w:trHeight w:val="42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284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552" w:type="dxa"/>
          </w:tcPr>
          <w:p w:rsidR="00233E02" w:rsidRPr="00F35F97" w:rsidRDefault="003A1B5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278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85062A">
        <w:trPr>
          <w:trHeight w:val="43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622" w:type="dxa"/>
            <w:gridSpan w:val="3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371" w:type="dxa"/>
          </w:tcPr>
          <w:p w:rsidR="00233E02" w:rsidRPr="00F35F97" w:rsidRDefault="00B21C32" w:rsidP="00F96E2E">
            <w:pPr>
              <w:rPr>
                <w:rFonts w:asciiTheme="majorHAnsi" w:hAnsiTheme="majorHAnsi" w:cs="Arial-BoldMT"/>
                <w:b/>
                <w:bCs/>
              </w:rPr>
            </w:pPr>
            <w:r w:rsidRPr="00F35F97"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48748F" w:rsidRPr="00F35F97" w:rsidRDefault="0048748F" w:rsidP="0048748F">
      <w:pPr>
        <w:rPr>
          <w:rFonts w:asciiTheme="majorHAnsi" w:hAnsiTheme="majorHAnsi" w:cs="Arial-BoldMT"/>
          <w:bCs/>
        </w:rPr>
      </w:pPr>
    </w:p>
    <w:p w:rsidR="00D926FB" w:rsidRPr="00F35F97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W-6A</w:t>
      </w:r>
      <w:r w:rsidR="00D90364" w:rsidRPr="00F35F97">
        <w:rPr>
          <w:rFonts w:asciiTheme="majorHAnsi" w:hAnsiTheme="majorHAnsi" w:cs="Arial-BoldMT"/>
          <w:b/>
          <w:bCs/>
          <w:sz w:val="20"/>
          <w:szCs w:val="20"/>
        </w:rPr>
        <w:t>.1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F35F97" w:rsidRDefault="00370396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0"/>
          <w:szCs w:val="20"/>
        </w:rPr>
        <w:t>moc umowna: 878</w:t>
      </w:r>
      <w:r w:rsidR="0048748F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 kWh/h, prognozowane zużycie paliwa gazowego w okresie od </w:t>
      </w:r>
      <w:r w:rsidR="00DA1B35">
        <w:rPr>
          <w:rFonts w:asciiTheme="majorHAnsi" w:hAnsiTheme="majorHAnsi" w:cs="Arial-BoldMT"/>
          <w:b/>
          <w:bCs/>
          <w:sz w:val="20"/>
          <w:szCs w:val="20"/>
        </w:rPr>
        <w:t>01.01.2022</w:t>
      </w:r>
      <w:r w:rsidR="000A581E" w:rsidRPr="00F35F97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DA1B35">
        <w:rPr>
          <w:rFonts w:asciiTheme="majorHAnsi" w:hAnsiTheme="majorHAnsi" w:cs="Arial-BoldMT"/>
          <w:b/>
          <w:bCs/>
          <w:sz w:val="20"/>
          <w:szCs w:val="20"/>
        </w:rPr>
        <w:t>.2022</w:t>
      </w:r>
      <w:r w:rsidR="006F79AB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r.: </w:t>
      </w:r>
      <w:r w:rsidR="00B545E0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A1B53" w:rsidRPr="003A1B53">
        <w:rPr>
          <w:rFonts w:asciiTheme="majorHAnsi" w:hAnsiTheme="majorHAnsi" w:cs="Arial-BoldMT"/>
          <w:b/>
          <w:bCs/>
          <w:sz w:val="20"/>
          <w:szCs w:val="20"/>
        </w:rPr>
        <w:t>3 </w:t>
      </w:r>
      <w:r w:rsidR="00DA1B35">
        <w:rPr>
          <w:rFonts w:asciiTheme="majorHAnsi" w:hAnsiTheme="majorHAnsi" w:cs="Arial-BoldMT"/>
          <w:b/>
          <w:bCs/>
          <w:sz w:val="20"/>
          <w:szCs w:val="20"/>
        </w:rPr>
        <w:t>455 784</w:t>
      </w:r>
      <w:r w:rsidR="00B21C32" w:rsidRPr="003A1B53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B21C32" w:rsidRPr="003A1B53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48748F" w:rsidRPr="003A1B53">
        <w:rPr>
          <w:rFonts w:asciiTheme="majorHAnsi" w:hAnsiTheme="majorHAnsi" w:cs="Arial-BoldMT"/>
          <w:b/>
          <w:bCs/>
          <w:sz w:val="20"/>
          <w:szCs w:val="20"/>
        </w:rPr>
        <w:t>.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87"/>
        <w:gridCol w:w="2915"/>
        <w:gridCol w:w="2869"/>
        <w:gridCol w:w="1984"/>
        <w:gridCol w:w="3085"/>
      </w:tblGrid>
      <w:tr w:rsidR="00233E02" w:rsidRPr="00F35F97" w:rsidTr="000941B3">
        <w:trPr>
          <w:trHeight w:val="251"/>
        </w:trPr>
        <w:tc>
          <w:tcPr>
            <w:tcW w:w="987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2915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869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984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3085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F35F97" w:rsidTr="000941B3">
        <w:trPr>
          <w:trHeight w:val="250"/>
        </w:trPr>
        <w:tc>
          <w:tcPr>
            <w:tcW w:w="987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869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:rsidTr="000941B3">
        <w:trPr>
          <w:trHeight w:val="258"/>
        </w:trPr>
        <w:tc>
          <w:tcPr>
            <w:tcW w:w="987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291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869" w:type="dxa"/>
          </w:tcPr>
          <w:p w:rsidR="00233E02" w:rsidRPr="00F35F97" w:rsidRDefault="003A1B53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A1B53">
              <w:rPr>
                <w:rFonts w:asciiTheme="majorHAnsi" w:hAnsiTheme="majorHAnsi" w:cs="Arial-BoldMT"/>
                <w:bCs/>
                <w:sz w:val="20"/>
                <w:szCs w:val="20"/>
              </w:rPr>
              <w:t>3</w:t>
            </w:r>
            <w:r w:rsidR="00DA1B35">
              <w:rPr>
                <w:rFonts w:asciiTheme="majorHAnsi" w:hAnsiTheme="majorHAnsi" w:cs="Arial-BoldMT"/>
                <w:bCs/>
                <w:sz w:val="20"/>
                <w:szCs w:val="20"/>
              </w:rPr>
              <w:t> 455 784</w:t>
            </w:r>
            <w:r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1984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0941B3">
        <w:trPr>
          <w:trHeight w:val="406"/>
        </w:trPr>
        <w:tc>
          <w:tcPr>
            <w:tcW w:w="987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15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869" w:type="dxa"/>
          </w:tcPr>
          <w:p w:rsidR="00233E02" w:rsidRPr="00F35F97" w:rsidRDefault="003A1B53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A1B53">
              <w:rPr>
                <w:rFonts w:asciiTheme="majorHAnsi" w:hAnsiTheme="majorHAnsi" w:cs="Arial-BoldMT"/>
                <w:bCs/>
                <w:sz w:val="20"/>
                <w:szCs w:val="20"/>
              </w:rPr>
              <w:t>3</w:t>
            </w:r>
            <w:r w:rsidR="00DA1B35">
              <w:rPr>
                <w:rFonts w:asciiTheme="majorHAnsi" w:hAnsiTheme="majorHAnsi" w:cs="Arial-BoldMT"/>
                <w:bCs/>
                <w:sz w:val="20"/>
                <w:szCs w:val="20"/>
              </w:rPr>
              <w:t> 455 784</w:t>
            </w:r>
            <w:r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1984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:rsidTr="000941B3">
        <w:trPr>
          <w:trHeight w:val="554"/>
        </w:trPr>
        <w:tc>
          <w:tcPr>
            <w:tcW w:w="987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2915" w:type="dxa"/>
          </w:tcPr>
          <w:p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869" w:type="dxa"/>
          </w:tcPr>
          <w:p w:rsidR="00E4535F" w:rsidRPr="00F35F97" w:rsidRDefault="00FE6035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8 760</w:t>
            </w:r>
            <w:r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F8323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x 878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</w:t>
            </w:r>
          </w:p>
          <w:p w:rsidR="00E4535F" w:rsidRPr="00F35F97" w:rsidRDefault="00F83234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7 691 280</w:t>
            </w:r>
            <w:r w:rsidR="00FE603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1984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:rsidTr="000941B3">
        <w:trPr>
          <w:trHeight w:val="561"/>
        </w:trPr>
        <w:tc>
          <w:tcPr>
            <w:tcW w:w="987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2915" w:type="dxa"/>
          </w:tcPr>
          <w:p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 PLN/mc</w:t>
            </w:r>
          </w:p>
        </w:tc>
        <w:tc>
          <w:tcPr>
            <w:tcW w:w="2869" w:type="dxa"/>
          </w:tcPr>
          <w:p w:rsidR="00E4535F" w:rsidRPr="00F35F97" w:rsidRDefault="003A1B5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1984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85062A">
        <w:trPr>
          <w:trHeight w:val="391"/>
        </w:trPr>
        <w:tc>
          <w:tcPr>
            <w:tcW w:w="987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7768" w:type="dxa"/>
            <w:gridSpan w:val="3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3085" w:type="dxa"/>
          </w:tcPr>
          <w:p w:rsidR="00E4535F" w:rsidRPr="003764BF" w:rsidRDefault="00E4535F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85062A" w:rsidRDefault="0085062A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48748F" w:rsidRDefault="008817B1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II </w:t>
      </w:r>
      <w:r w:rsidR="003D4AA4" w:rsidRPr="003D4AA4">
        <w:rPr>
          <w:rFonts w:asciiTheme="majorHAnsi" w:hAnsiTheme="majorHAnsi" w:cs="ArialMT"/>
        </w:rPr>
        <w:t>Stawki za dy</w:t>
      </w:r>
      <w:r w:rsidR="00996AE1">
        <w:rPr>
          <w:rFonts w:asciiTheme="majorHAnsi" w:hAnsiTheme="majorHAnsi" w:cs="ArialMT"/>
        </w:rPr>
        <w:t>strybucję paliwa gazowego stałe i</w:t>
      </w:r>
      <w:r w:rsidR="003D4AA4" w:rsidRPr="003D4AA4">
        <w:rPr>
          <w:rFonts w:asciiTheme="majorHAnsi" w:hAnsiTheme="majorHAnsi" w:cs="ArialMT"/>
        </w:rPr>
        <w:t xml:space="preserve"> zmienne muszą być zgodne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przez Prezesa Urzędu Regulacji Energetyki.</w:t>
      </w:r>
    </w:p>
    <w:p w:rsidR="00DA5B67" w:rsidRPr="00DA5B67" w:rsidRDefault="00DA5B67" w:rsidP="00D90364">
      <w:pPr>
        <w:rPr>
          <w:rFonts w:asciiTheme="majorHAnsi" w:hAnsiTheme="majorHAnsi"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>
        <w:rPr>
          <w:rFonts w:asciiTheme="majorHAnsi" w:hAnsiTheme="majorHAnsi"/>
        </w:rPr>
        <w:t>4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3153"/>
        <w:gridCol w:w="3368"/>
        <w:gridCol w:w="2126"/>
        <w:gridCol w:w="4853"/>
      </w:tblGrid>
      <w:tr w:rsidR="00DA5B67" w:rsidRPr="00DA5B67" w:rsidTr="00F96E2E">
        <w:tc>
          <w:tcPr>
            <w:tcW w:w="1951" w:type="dxa"/>
            <w:vMerge w:val="restart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:rsidR="00DA5B67" w:rsidRPr="00DA5B67" w:rsidRDefault="008F2D6A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="00DA5B67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2 miejsc po przecinku )</w:t>
            </w:r>
          </w:p>
        </w:tc>
      </w:tr>
      <w:tr w:rsidR="00DA5B67" w:rsidRPr="00DA5B67" w:rsidTr="00F96E2E">
        <w:tc>
          <w:tcPr>
            <w:tcW w:w="1951" w:type="dxa"/>
            <w:vMerge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[kWh]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2B2284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kern w:val="1"/>
                <w:lang w:eastAsia="hi-IN" w:bidi="hi-IN"/>
              </w:rPr>
              <w:t>[zł</w:t>
            </w:r>
            <w:r w:rsidR="00DA5B67"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/kWh]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DA5B67" w:rsidRPr="00DA5B67" w:rsidTr="00F96E2E">
        <w:tc>
          <w:tcPr>
            <w:tcW w:w="1951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DA5B67" w:rsidRPr="00DA5B67" w:rsidTr="003F1A37">
        <w:trPr>
          <w:trHeight w:val="646"/>
        </w:trPr>
        <w:tc>
          <w:tcPr>
            <w:tcW w:w="1951" w:type="dxa"/>
            <w:shd w:val="clear" w:color="auto" w:fill="D9D9D9"/>
            <w:vAlign w:val="center"/>
          </w:tcPr>
          <w:p w:rsidR="00DA5B67" w:rsidRPr="003F1A37" w:rsidRDefault="00DA5B67" w:rsidP="003F1A37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Akcyza</w:t>
            </w:r>
          </w:p>
        </w:tc>
        <w:tc>
          <w:tcPr>
            <w:tcW w:w="3153" w:type="dxa"/>
            <w:vAlign w:val="center"/>
          </w:tcPr>
          <w:p w:rsidR="00DA5B67" w:rsidRPr="00DA5B67" w:rsidRDefault="00D56DAD" w:rsidP="00E72488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3</w:t>
            </w:r>
            <w:r w:rsidR="00E72488"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 936 238</w:t>
            </w:r>
          </w:p>
        </w:tc>
        <w:tc>
          <w:tcPr>
            <w:tcW w:w="3368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:rsidR="00DA5B67" w:rsidRPr="00DA5B67" w:rsidRDefault="00DA5B67" w:rsidP="00DA5B67">
      <w:pPr>
        <w:ind w:left="7788" w:hanging="7788"/>
        <w:rPr>
          <w:rFonts w:asciiTheme="majorHAnsi" w:hAnsiTheme="majorHAnsi"/>
        </w:rPr>
      </w:pP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( art. 89 ust. 1 pkt</w:t>
      </w:r>
      <w:r w:rsidR="00883DA9"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 w:rsidR="00D90364">
        <w:rPr>
          <w:rFonts w:asciiTheme="majorHAnsi" w:hAnsiTheme="majorHAnsi"/>
          <w:i/>
          <w:sz w:val="20"/>
          <w:szCs w:val="20"/>
        </w:rPr>
        <w:t xml:space="preserve">awy o podatku akcyzowym ) 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r w:rsidRPr="00DA5B67">
        <w:rPr>
          <w:rFonts w:asciiTheme="majorHAnsi" w:hAnsiTheme="majorHAnsi" w:cs="ArialMT"/>
          <w:u w:val="single"/>
        </w:rPr>
        <w:t>III Wartość oferty: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3D4AA4" w:rsidRDefault="00ED2B9B" w:rsidP="00875F4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Kwota netto ofert </w:t>
      </w:r>
      <w:r w:rsidR="00B545E0">
        <w:rPr>
          <w:rFonts w:asciiTheme="majorHAnsi" w:hAnsiTheme="majorHAnsi" w:cs="ArialMT"/>
        </w:rPr>
        <w:t xml:space="preserve">wynosi: ______________________ PLN, słownie: _____________________________________________________________  </w:t>
      </w:r>
      <w:r w:rsidR="00DA5B67" w:rsidRPr="003D4AA4">
        <w:rPr>
          <w:rFonts w:asciiTheme="majorHAnsi" w:hAnsiTheme="majorHAnsi" w:cs="ArialMT"/>
        </w:rPr>
        <w:t>PLN</w:t>
      </w:r>
    </w:p>
    <w:p w:rsidR="0085062A" w:rsidRDefault="00DA5B67" w:rsidP="00875F48">
      <w:pPr>
        <w:spacing w:line="36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  <w:b/>
        </w:rPr>
        <w:t xml:space="preserve">i </w:t>
      </w:r>
      <w:r w:rsidRPr="0048748F">
        <w:rPr>
          <w:rFonts w:asciiTheme="majorHAnsi" w:hAnsiTheme="majorHAnsi" w:cs="ArialMT"/>
          <w:b/>
        </w:rPr>
        <w:t xml:space="preserve">stanowi sumę </w:t>
      </w:r>
      <w:r>
        <w:rPr>
          <w:rFonts w:asciiTheme="majorHAnsi" w:hAnsiTheme="majorHAnsi" w:cs="ArialMT"/>
          <w:b/>
        </w:rPr>
        <w:t xml:space="preserve">kwot </w:t>
      </w:r>
      <w:r w:rsidR="00233E02">
        <w:rPr>
          <w:rFonts w:asciiTheme="majorHAnsi" w:hAnsiTheme="majorHAnsi" w:cs="ArialMT"/>
          <w:b/>
        </w:rPr>
        <w:t>netto z</w:t>
      </w:r>
      <w:r>
        <w:rPr>
          <w:rFonts w:asciiTheme="majorHAnsi" w:hAnsiTheme="majorHAnsi" w:cs="ArialMT"/>
          <w:b/>
        </w:rPr>
        <w:t xml:space="preserve"> </w:t>
      </w:r>
      <w:r w:rsidRPr="0048748F">
        <w:rPr>
          <w:rFonts w:asciiTheme="majorHAnsi" w:hAnsiTheme="majorHAnsi" w:cs="ArialMT"/>
          <w:b/>
        </w:rPr>
        <w:t>TABEL 1-3 z punktu 5.</w:t>
      </w:r>
      <w:r w:rsidR="00233E02">
        <w:rPr>
          <w:rFonts w:asciiTheme="majorHAnsi" w:hAnsiTheme="majorHAnsi" w:cs="ArialMT"/>
          <w:b/>
        </w:rPr>
        <w:t>1</w:t>
      </w:r>
      <w:r>
        <w:rPr>
          <w:rFonts w:asciiTheme="majorHAnsi" w:hAnsiTheme="majorHAnsi" w:cs="ArialMT"/>
        </w:rPr>
        <w:t xml:space="preserve">. </w:t>
      </w:r>
      <w:r w:rsidR="00BE3FD1">
        <w:rPr>
          <w:rFonts w:asciiTheme="majorHAnsi" w:hAnsiTheme="majorHAnsi" w:cs="ArialMT"/>
        </w:rPr>
        <w:t xml:space="preserve">którą </w:t>
      </w:r>
      <w:r w:rsidR="00233E02">
        <w:rPr>
          <w:rFonts w:asciiTheme="majorHAnsi" w:hAnsiTheme="majorHAnsi" w:cs="ArialMT"/>
        </w:rPr>
        <w:t>należy przenieść do pkt. 1 a F</w:t>
      </w:r>
      <w:r w:rsidR="009210F9">
        <w:rPr>
          <w:rFonts w:asciiTheme="majorHAnsi" w:hAnsiTheme="majorHAnsi" w:cs="ArialMT"/>
        </w:rPr>
        <w:t>ormularza Ofertowego Załącznik 1</w:t>
      </w:r>
      <w:r w:rsidR="004F48F3">
        <w:rPr>
          <w:rFonts w:asciiTheme="majorHAnsi" w:hAnsiTheme="majorHAnsi" w:cs="ArialMT"/>
        </w:rPr>
        <w:t>do S</w:t>
      </w:r>
      <w:r w:rsidR="00233E02">
        <w:rPr>
          <w:rFonts w:asciiTheme="majorHAnsi" w:hAnsiTheme="majorHAnsi" w:cs="ArialMT"/>
        </w:rPr>
        <w:t>WZ;</w:t>
      </w:r>
      <w:r w:rsidR="009210F9">
        <w:rPr>
          <w:rFonts w:asciiTheme="majorHAnsi" w:hAnsiTheme="majorHAnsi" w:cs="ArialMT"/>
        </w:rPr>
        <w:t xml:space="preserve"> a  do pkt. 1 b ww. Załącznika 1 do SWZ</w:t>
      </w:r>
      <w:r w:rsidR="00233E02">
        <w:rPr>
          <w:rFonts w:asciiTheme="majorHAnsi" w:hAnsiTheme="majorHAnsi" w:cs="ArialMT"/>
        </w:rPr>
        <w:t xml:space="preserve">   przenieść kwotę akcyzy z </w:t>
      </w:r>
      <w:r>
        <w:rPr>
          <w:rFonts w:asciiTheme="majorHAnsi" w:hAnsiTheme="majorHAnsi" w:cs="ArialMT"/>
        </w:rPr>
        <w:t>Tabeli 4 – podatek akcyzowy.</w:t>
      </w:r>
    </w:p>
    <w:p w:rsidR="00DA5B67" w:rsidRPr="0048748F" w:rsidRDefault="00DA5B67" w:rsidP="00DA5B67">
      <w:pPr>
        <w:pStyle w:val="Bezodstpw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11D">
        <w:tab/>
      </w:r>
      <w:r w:rsidR="00E1211D">
        <w:tab/>
      </w:r>
      <w:r w:rsidR="00E1211D">
        <w:tab/>
      </w:r>
      <w:r w:rsidR="009210F9">
        <w:rPr>
          <w:rFonts w:asciiTheme="majorHAnsi" w:hAnsiTheme="majorHAnsi"/>
        </w:rPr>
        <w:t>_______________________</w:t>
      </w:r>
    </w:p>
    <w:p w:rsidR="00DA5B67" w:rsidRPr="009210F9" w:rsidRDefault="00E1211D" w:rsidP="00DA5B67">
      <w:pPr>
        <w:pStyle w:val="Bezodstpw"/>
        <w:ind w:left="5664" w:firstLine="708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</w:t>
      </w:r>
      <w:r>
        <w:rPr>
          <w:rFonts w:asciiTheme="majorHAnsi" w:hAnsiTheme="majorHAnsi"/>
          <w:i/>
          <w:sz w:val="16"/>
          <w:szCs w:val="16"/>
        </w:rPr>
        <w:tab/>
      </w:r>
      <w:r>
        <w:rPr>
          <w:rFonts w:asciiTheme="majorHAnsi" w:hAnsiTheme="majorHAnsi"/>
          <w:i/>
          <w:sz w:val="16"/>
          <w:szCs w:val="16"/>
        </w:rPr>
        <w:tab/>
      </w:r>
      <w:r>
        <w:rPr>
          <w:rFonts w:asciiTheme="majorHAnsi" w:hAnsiTheme="majorHAnsi"/>
          <w:i/>
          <w:sz w:val="16"/>
          <w:szCs w:val="16"/>
        </w:rPr>
        <w:tab/>
      </w:r>
      <w:r w:rsidR="00447A26">
        <w:rPr>
          <w:rFonts w:asciiTheme="majorHAnsi" w:hAnsiTheme="majorHAnsi"/>
          <w:i/>
          <w:sz w:val="16"/>
          <w:szCs w:val="16"/>
        </w:rPr>
        <w:t xml:space="preserve">    PODPIS WYKONAWCY</w:t>
      </w:r>
    </w:p>
    <w:p w:rsidR="005E49CA" w:rsidRDefault="005E49CA" w:rsidP="003F1A37">
      <w:pPr>
        <w:spacing w:line="240" w:lineRule="auto"/>
        <w:jc w:val="both"/>
        <w:rPr>
          <w:b/>
          <w:i/>
          <w:color w:val="0070C0"/>
        </w:rPr>
      </w:pPr>
    </w:p>
    <w:p w:rsidR="00BE3FD1" w:rsidRPr="005E49CA" w:rsidRDefault="003F1A37" w:rsidP="005E49CA">
      <w:pPr>
        <w:spacing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DA5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3D4AA4"/>
    <w:rsid w:val="00001C5F"/>
    <w:rsid w:val="000059E1"/>
    <w:rsid w:val="00021E29"/>
    <w:rsid w:val="00023957"/>
    <w:rsid w:val="0002656D"/>
    <w:rsid w:val="0006738A"/>
    <w:rsid w:val="000935A2"/>
    <w:rsid w:val="000941B3"/>
    <w:rsid w:val="000A581E"/>
    <w:rsid w:val="000A7710"/>
    <w:rsid w:val="000D3134"/>
    <w:rsid w:val="000E47D4"/>
    <w:rsid w:val="00103090"/>
    <w:rsid w:val="00140E0F"/>
    <w:rsid w:val="00197AF8"/>
    <w:rsid w:val="001A234A"/>
    <w:rsid w:val="001E5B0D"/>
    <w:rsid w:val="00202220"/>
    <w:rsid w:val="0021129D"/>
    <w:rsid w:val="00233E02"/>
    <w:rsid w:val="0023754F"/>
    <w:rsid w:val="002B2284"/>
    <w:rsid w:val="002B3421"/>
    <w:rsid w:val="002C41B9"/>
    <w:rsid w:val="002E159A"/>
    <w:rsid w:val="002E7815"/>
    <w:rsid w:val="00370396"/>
    <w:rsid w:val="00372418"/>
    <w:rsid w:val="00374963"/>
    <w:rsid w:val="003764BF"/>
    <w:rsid w:val="00387879"/>
    <w:rsid w:val="003A1B53"/>
    <w:rsid w:val="003D4AA4"/>
    <w:rsid w:val="003E1AA1"/>
    <w:rsid w:val="003F1A37"/>
    <w:rsid w:val="00405EE1"/>
    <w:rsid w:val="00410815"/>
    <w:rsid w:val="004417AB"/>
    <w:rsid w:val="0044213C"/>
    <w:rsid w:val="00447A26"/>
    <w:rsid w:val="00462AB2"/>
    <w:rsid w:val="0048748F"/>
    <w:rsid w:val="004D1494"/>
    <w:rsid w:val="004F48F3"/>
    <w:rsid w:val="00554DC7"/>
    <w:rsid w:val="005C1F34"/>
    <w:rsid w:val="005D6D3B"/>
    <w:rsid w:val="005E49CA"/>
    <w:rsid w:val="005F2AD3"/>
    <w:rsid w:val="00603581"/>
    <w:rsid w:val="00610B94"/>
    <w:rsid w:val="00640822"/>
    <w:rsid w:val="006612BE"/>
    <w:rsid w:val="00666AEA"/>
    <w:rsid w:val="006A7CC1"/>
    <w:rsid w:val="006F3B54"/>
    <w:rsid w:val="006F79AB"/>
    <w:rsid w:val="00727850"/>
    <w:rsid w:val="007731FC"/>
    <w:rsid w:val="0078665B"/>
    <w:rsid w:val="007D6DB5"/>
    <w:rsid w:val="007D727C"/>
    <w:rsid w:val="007D7C0B"/>
    <w:rsid w:val="007D7ED9"/>
    <w:rsid w:val="007F2C60"/>
    <w:rsid w:val="007F5B18"/>
    <w:rsid w:val="00821555"/>
    <w:rsid w:val="008401A3"/>
    <w:rsid w:val="0084086A"/>
    <w:rsid w:val="0085062A"/>
    <w:rsid w:val="00854ED4"/>
    <w:rsid w:val="00866AA7"/>
    <w:rsid w:val="00875F48"/>
    <w:rsid w:val="0087680A"/>
    <w:rsid w:val="008817B1"/>
    <w:rsid w:val="00883DA9"/>
    <w:rsid w:val="008875D4"/>
    <w:rsid w:val="008A1A94"/>
    <w:rsid w:val="008B0234"/>
    <w:rsid w:val="008F2D6A"/>
    <w:rsid w:val="009152BB"/>
    <w:rsid w:val="009210F9"/>
    <w:rsid w:val="00954A59"/>
    <w:rsid w:val="00977213"/>
    <w:rsid w:val="00996AE1"/>
    <w:rsid w:val="009C4DA0"/>
    <w:rsid w:val="009D2428"/>
    <w:rsid w:val="00A238A9"/>
    <w:rsid w:val="00A7088A"/>
    <w:rsid w:val="00A93113"/>
    <w:rsid w:val="00AC7713"/>
    <w:rsid w:val="00AD407D"/>
    <w:rsid w:val="00AF5A34"/>
    <w:rsid w:val="00B16206"/>
    <w:rsid w:val="00B21C32"/>
    <w:rsid w:val="00B545E0"/>
    <w:rsid w:val="00B839DA"/>
    <w:rsid w:val="00B928A9"/>
    <w:rsid w:val="00BA0ECB"/>
    <w:rsid w:val="00BE3FD1"/>
    <w:rsid w:val="00C5671E"/>
    <w:rsid w:val="00C720C1"/>
    <w:rsid w:val="00CA0AAB"/>
    <w:rsid w:val="00CB150F"/>
    <w:rsid w:val="00CB3492"/>
    <w:rsid w:val="00CE6612"/>
    <w:rsid w:val="00CF1EA0"/>
    <w:rsid w:val="00D23018"/>
    <w:rsid w:val="00D562A8"/>
    <w:rsid w:val="00D56DAD"/>
    <w:rsid w:val="00D63D93"/>
    <w:rsid w:val="00D761CB"/>
    <w:rsid w:val="00D82CF8"/>
    <w:rsid w:val="00D90364"/>
    <w:rsid w:val="00D926FB"/>
    <w:rsid w:val="00DA1B35"/>
    <w:rsid w:val="00DA5B67"/>
    <w:rsid w:val="00DB535B"/>
    <w:rsid w:val="00DC3BAD"/>
    <w:rsid w:val="00DD1B63"/>
    <w:rsid w:val="00DE07CB"/>
    <w:rsid w:val="00DF4DCE"/>
    <w:rsid w:val="00E0242A"/>
    <w:rsid w:val="00E1211D"/>
    <w:rsid w:val="00E13D61"/>
    <w:rsid w:val="00E203AE"/>
    <w:rsid w:val="00E33CB1"/>
    <w:rsid w:val="00E4535F"/>
    <w:rsid w:val="00E62DF9"/>
    <w:rsid w:val="00E72488"/>
    <w:rsid w:val="00E759CE"/>
    <w:rsid w:val="00E8173C"/>
    <w:rsid w:val="00E90B32"/>
    <w:rsid w:val="00E97FBF"/>
    <w:rsid w:val="00EB1174"/>
    <w:rsid w:val="00EB1A2D"/>
    <w:rsid w:val="00EB44D7"/>
    <w:rsid w:val="00EC708C"/>
    <w:rsid w:val="00ED2B9B"/>
    <w:rsid w:val="00EE1346"/>
    <w:rsid w:val="00F35F97"/>
    <w:rsid w:val="00F37D26"/>
    <w:rsid w:val="00F428B8"/>
    <w:rsid w:val="00F83234"/>
    <w:rsid w:val="00F96E2E"/>
    <w:rsid w:val="00FA5432"/>
    <w:rsid w:val="00FE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BF352-1C4C-4D5C-96D9-BAD44CF6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Bożena Szczepanik</cp:lastModifiedBy>
  <cp:revision>25</cp:revision>
  <cp:lastPrinted>2020-10-22T13:14:00Z</cp:lastPrinted>
  <dcterms:created xsi:type="dcterms:W3CDTF">2020-09-30T09:42:00Z</dcterms:created>
  <dcterms:modified xsi:type="dcterms:W3CDTF">2021-08-09T08:29:00Z</dcterms:modified>
</cp:coreProperties>
</file>