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1" w:rsidRPr="00B839DA" w:rsidRDefault="00666AEA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                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Załącznik 3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 xml:space="preserve"> do SIWZ</w:t>
      </w:r>
      <w:r w:rsidR="00AC7713">
        <w:rPr>
          <w:rFonts w:asciiTheme="majorHAnsi" w:hAnsiTheme="majorHAnsi" w:cs="Arial-BoldMT"/>
          <w:b/>
          <w:bCs/>
          <w:sz w:val="20"/>
          <w:szCs w:val="20"/>
        </w:rPr>
        <w:t xml:space="preserve"> CRZPU/1/2019</w:t>
      </w: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3D4AA4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>I Dostawy dla grup taryfowych:</w:t>
      </w:r>
    </w:p>
    <w:p w:rsidR="0048748F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:rsidR="00D926FB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grup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y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taryfowej W-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E33CB1" w:rsidRPr="00883DA9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</w:t>
      </w:r>
      <w:r w:rsidR="00E33CB1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110 </w:t>
      </w:r>
      <w:proofErr w:type="spellStart"/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>p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rognozowane zużycie p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aliwa </w:t>
      </w:r>
      <w:r w:rsidR="00DB535B">
        <w:rPr>
          <w:rFonts w:asciiTheme="majorHAnsi" w:hAnsiTheme="majorHAnsi" w:cs="Arial-BoldMT"/>
          <w:b/>
          <w:bCs/>
          <w:sz w:val="20"/>
          <w:szCs w:val="20"/>
        </w:rPr>
        <w:t>gazowego w okresie od 01.08.2019r. do 31.07.2020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r.:</w:t>
      </w:r>
      <w:r w:rsidR="00E33CB1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23754F">
        <w:rPr>
          <w:rFonts w:asciiTheme="majorHAnsi" w:hAnsiTheme="majorHAnsi" w:cs="Arial-BoldMT"/>
          <w:b/>
          <w:bCs/>
          <w:sz w:val="20"/>
          <w:szCs w:val="20"/>
        </w:rPr>
        <w:t xml:space="preserve"> 1 5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00</w:t>
      </w:r>
      <w:r w:rsidR="00D562A8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D562A8"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CE6612" w:rsidRPr="00883DA9">
        <w:rPr>
          <w:rFonts w:asciiTheme="majorHAnsi" w:hAnsiTheme="majorHAnsi" w:cs="Arial-BoldMT"/>
          <w:b/>
          <w:bCs/>
          <w:sz w:val="20"/>
          <w:szCs w:val="20"/>
        </w:rPr>
        <w:t>.</w:t>
      </w:r>
      <w:r w:rsidR="00F37D26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Pr="003D4AA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80"/>
        <w:gridCol w:w="3523"/>
        <w:gridCol w:w="2268"/>
        <w:gridCol w:w="2286"/>
        <w:gridCol w:w="2483"/>
      </w:tblGrid>
      <w:tr w:rsidR="00233E02" w:rsidTr="000941B3">
        <w:trPr>
          <w:trHeight w:val="253"/>
        </w:trPr>
        <w:tc>
          <w:tcPr>
            <w:tcW w:w="980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268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286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483" w:type="dxa"/>
            <w:vMerge w:val="restart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0941B3">
        <w:trPr>
          <w:trHeight w:val="252"/>
        </w:trPr>
        <w:tc>
          <w:tcPr>
            <w:tcW w:w="980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483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0941B3">
        <w:trPr>
          <w:trHeight w:val="447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268" w:type="dxa"/>
          </w:tcPr>
          <w:p w:rsidR="00233E02" w:rsidRPr="00CF1EA0" w:rsidRDefault="0023754F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1 5</w:t>
            </w:r>
            <w:r w:rsidR="00B21C32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567"/>
        </w:trPr>
        <w:tc>
          <w:tcPr>
            <w:tcW w:w="980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</w:p>
          <w:p w:rsidR="00233E02" w:rsidRPr="00E62DF9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268" w:type="dxa"/>
          </w:tcPr>
          <w:p w:rsidR="00233E02" w:rsidRPr="00CF1EA0" w:rsidRDefault="0023754F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1 5</w:t>
            </w:r>
            <w:r w:rsidR="00B21C32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713"/>
        </w:trPr>
        <w:tc>
          <w:tcPr>
            <w:tcW w:w="980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</w:p>
          <w:p w:rsidR="00233E02" w:rsidRDefault="00233E02" w:rsidP="00EE134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268" w:type="dxa"/>
          </w:tcPr>
          <w:p w:rsidR="007F5B18" w:rsidRDefault="007F5B18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12 miesięcy </w:t>
            </w:r>
          </w:p>
          <w:p w:rsidR="00233E02" w:rsidRPr="00CF1EA0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850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</w:p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268" w:type="dxa"/>
          </w:tcPr>
          <w:p w:rsidR="00233E02" w:rsidRPr="003764BF" w:rsidRDefault="00233E02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666AEA">
        <w:trPr>
          <w:trHeight w:val="393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077" w:type="dxa"/>
            <w:gridSpan w:val="3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483" w:type="dxa"/>
          </w:tcPr>
          <w:p w:rsidR="00233E02" w:rsidRPr="003764BF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3D4AA4" w:rsidRDefault="003D4AA4" w:rsidP="003D4AA4">
      <w:pPr>
        <w:rPr>
          <w:rFonts w:asciiTheme="majorHAnsi" w:hAnsiTheme="majorHAnsi" w:cs="Arial-BoldMT"/>
          <w:bCs/>
        </w:rPr>
      </w:pPr>
    </w:p>
    <w:p w:rsidR="003D4AA4" w:rsidRDefault="003D4AA4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D926FB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883DA9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883DA9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165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prognozowane zużycie paliwa gazowego w okresie od 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>01.08.201</w:t>
      </w:r>
      <w:r w:rsidR="007D727C">
        <w:rPr>
          <w:rFonts w:asciiTheme="majorHAnsi" w:hAnsiTheme="majorHAnsi" w:cs="Arial-BoldMT"/>
          <w:b/>
          <w:bCs/>
          <w:sz w:val="20"/>
          <w:szCs w:val="20"/>
        </w:rPr>
        <w:t>9r. do 31.07.2020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r. :  </w:t>
      </w:r>
      <w:r w:rsidR="007D727C">
        <w:rPr>
          <w:rFonts w:asciiTheme="majorHAnsi" w:hAnsiTheme="majorHAnsi" w:cs="Arial-BoldMT"/>
          <w:b/>
          <w:bCs/>
          <w:sz w:val="20"/>
          <w:szCs w:val="20"/>
        </w:rPr>
        <w:t>500 000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48748F" w:rsidRPr="0048748F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</w:rPr>
      </w:pPr>
    </w:p>
    <w:p w:rsidR="0048748F" w:rsidRPr="003D4AA4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35"/>
        <w:gridCol w:w="3284"/>
        <w:gridCol w:w="2552"/>
        <w:gridCol w:w="2786"/>
        <w:gridCol w:w="2371"/>
      </w:tblGrid>
      <w:tr w:rsidR="00233E02" w:rsidTr="000941B3">
        <w:trPr>
          <w:trHeight w:val="279"/>
        </w:trPr>
        <w:tc>
          <w:tcPr>
            <w:tcW w:w="935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552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786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371" w:type="dxa"/>
            <w:vMerge w:val="restart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0941B3">
        <w:trPr>
          <w:trHeight w:val="277"/>
        </w:trPr>
        <w:tc>
          <w:tcPr>
            <w:tcW w:w="935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0941B3">
        <w:trPr>
          <w:trHeight w:val="286"/>
        </w:trPr>
        <w:tc>
          <w:tcPr>
            <w:tcW w:w="93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552" w:type="dxa"/>
          </w:tcPr>
          <w:p w:rsidR="00233E02" w:rsidRPr="00CF1EA0" w:rsidRDefault="007D727C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5</w:t>
            </w:r>
            <w:r w:rsidR="0006738A">
              <w:rPr>
                <w:rFonts w:asciiTheme="majorHAnsi" w:hAnsiTheme="majorHAnsi" w:cs="Arial-BoldMT"/>
                <w:bCs/>
                <w:sz w:val="18"/>
                <w:szCs w:val="18"/>
              </w:rPr>
              <w:t>00 000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493"/>
        </w:trPr>
        <w:tc>
          <w:tcPr>
            <w:tcW w:w="935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:rsidR="00233E02" w:rsidRPr="00E62DF9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552" w:type="dxa"/>
          </w:tcPr>
          <w:p w:rsidR="00233E02" w:rsidRPr="00CF1EA0" w:rsidRDefault="007D727C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5</w:t>
            </w:r>
            <w:r w:rsidR="0006738A">
              <w:rPr>
                <w:rFonts w:asciiTheme="majorHAnsi" w:hAnsiTheme="majorHAnsi" w:cs="Arial-BoldMT"/>
                <w:bCs/>
                <w:sz w:val="18"/>
                <w:szCs w:val="18"/>
              </w:rPr>
              <w:t>00 000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557"/>
        </w:trPr>
        <w:tc>
          <w:tcPr>
            <w:tcW w:w="935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552" w:type="dxa"/>
          </w:tcPr>
          <w:p w:rsidR="00233E02" w:rsidRPr="00CF1EA0" w:rsidRDefault="00E4535F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165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1</w:t>
            </w:r>
            <w:r w:rsidR="000941B3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445</w:t>
            </w:r>
            <w:r w:rsidR="000941B3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400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423"/>
        </w:trPr>
        <w:tc>
          <w:tcPr>
            <w:tcW w:w="93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552" w:type="dxa"/>
          </w:tcPr>
          <w:p w:rsidR="00233E02" w:rsidRPr="003764BF" w:rsidRDefault="00233E02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433"/>
        </w:trPr>
        <w:tc>
          <w:tcPr>
            <w:tcW w:w="93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622" w:type="dxa"/>
            <w:gridSpan w:val="3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371" w:type="dxa"/>
          </w:tcPr>
          <w:p w:rsidR="00233E02" w:rsidRPr="003764BF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48748F" w:rsidRDefault="0048748F" w:rsidP="0048748F">
      <w:pPr>
        <w:rPr>
          <w:rFonts w:asciiTheme="majorHAnsi" w:hAnsiTheme="majorHAnsi" w:cs="Arial-BoldMT"/>
          <w:bCs/>
        </w:rPr>
      </w:pPr>
    </w:p>
    <w:p w:rsidR="00D926FB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883DA9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1097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prognozowane zużycie paliwa gazowego w okresie od </w:t>
      </w:r>
      <w:r w:rsidR="00E759CE">
        <w:rPr>
          <w:rFonts w:asciiTheme="majorHAnsi" w:hAnsiTheme="majorHAnsi" w:cs="Arial-BoldMT"/>
          <w:b/>
          <w:bCs/>
          <w:sz w:val="20"/>
          <w:szCs w:val="20"/>
        </w:rPr>
        <w:t>01.08.2019r. do 31.07.2020</w:t>
      </w:r>
      <w:r w:rsidR="006F79AB">
        <w:rPr>
          <w:rFonts w:asciiTheme="majorHAnsi" w:hAnsiTheme="majorHAnsi" w:cs="Arial-BoldMT"/>
          <w:b/>
          <w:bCs/>
          <w:sz w:val="20"/>
          <w:szCs w:val="20"/>
        </w:rPr>
        <w:t>r.: 3</w:t>
      </w:r>
      <w:r w:rsidR="0078665B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6F79AB">
        <w:rPr>
          <w:rFonts w:asciiTheme="majorHAnsi" w:hAnsiTheme="majorHAnsi" w:cs="Arial-BoldMT"/>
          <w:b/>
          <w:bCs/>
          <w:sz w:val="20"/>
          <w:szCs w:val="20"/>
        </w:rPr>
        <w:t>098 500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B21C32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>.</w:t>
      </w:r>
    </w:p>
    <w:p w:rsidR="0048748F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p w:rsidR="0048748F" w:rsidRPr="003D4AA4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87"/>
        <w:gridCol w:w="2915"/>
        <w:gridCol w:w="2869"/>
        <w:gridCol w:w="1984"/>
        <w:gridCol w:w="3085"/>
      </w:tblGrid>
      <w:tr w:rsidR="00233E02" w:rsidTr="000941B3">
        <w:trPr>
          <w:trHeight w:val="251"/>
        </w:trPr>
        <w:tc>
          <w:tcPr>
            <w:tcW w:w="987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869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984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3085" w:type="dxa"/>
            <w:vMerge w:val="restart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0941B3">
        <w:trPr>
          <w:trHeight w:val="250"/>
        </w:trPr>
        <w:tc>
          <w:tcPr>
            <w:tcW w:w="987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0941B3">
        <w:trPr>
          <w:trHeight w:val="258"/>
        </w:trPr>
        <w:tc>
          <w:tcPr>
            <w:tcW w:w="987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869" w:type="dxa"/>
          </w:tcPr>
          <w:p w:rsidR="00233E02" w:rsidRPr="00CF1EA0" w:rsidRDefault="007D727C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3 098 5</w:t>
            </w:r>
            <w:r w:rsidR="00BA0E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00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1984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406"/>
        </w:trPr>
        <w:tc>
          <w:tcPr>
            <w:tcW w:w="987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:rsidR="00233E02" w:rsidRPr="00E62DF9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869" w:type="dxa"/>
          </w:tcPr>
          <w:p w:rsidR="00233E02" w:rsidRPr="00CF1EA0" w:rsidRDefault="007D727C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3 098 5</w:t>
            </w:r>
            <w:r w:rsidR="00BA0E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00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1984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0941B3">
        <w:trPr>
          <w:trHeight w:val="554"/>
        </w:trPr>
        <w:tc>
          <w:tcPr>
            <w:tcW w:w="987" w:type="dxa"/>
          </w:tcPr>
          <w:p w:rsidR="00E4535F" w:rsidRPr="00E62DF9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:rsidR="00E4535F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869" w:type="dxa"/>
          </w:tcPr>
          <w:p w:rsidR="00E4535F" w:rsidRDefault="00E4535F" w:rsidP="002A384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1 097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</w:p>
          <w:p w:rsidR="00E4535F" w:rsidRPr="00CF1EA0" w:rsidRDefault="00E4535F" w:rsidP="002A384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87680A"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60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87680A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720 </w:t>
            </w:r>
            <w:proofErr w:type="spellStart"/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1984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0941B3">
        <w:trPr>
          <w:trHeight w:val="56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:rsidR="00E4535F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869" w:type="dxa"/>
          </w:tcPr>
          <w:p w:rsidR="00E4535F" w:rsidRPr="003764BF" w:rsidRDefault="00E4535F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1984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85062A">
        <w:trPr>
          <w:trHeight w:val="39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7768" w:type="dxa"/>
            <w:gridSpan w:val="3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3085" w:type="dxa"/>
          </w:tcPr>
          <w:p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48748F" w:rsidRDefault="008817B1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II </w:t>
      </w:r>
      <w:r w:rsidR="003D4AA4"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="003D4AA4"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przez Prezesa Urzędu Regulacji Energetyki.</w:t>
      </w:r>
    </w:p>
    <w:p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>
        <w:rPr>
          <w:rFonts w:asciiTheme="majorHAnsi" w:hAnsiTheme="majorHAnsi"/>
        </w:rPr>
        <w:t>4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53"/>
        <w:gridCol w:w="3368"/>
        <w:gridCol w:w="2126"/>
        <w:gridCol w:w="4853"/>
      </w:tblGrid>
      <w:tr w:rsidR="00DA5B67" w:rsidRPr="00DA5B6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3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</w:tc>
      </w:tr>
      <w:tr w:rsidR="00DA5B67" w:rsidRPr="00DA5B67" w:rsidTr="00F96E2E">
        <w:tc>
          <w:tcPr>
            <w:tcW w:w="1951" w:type="dxa"/>
            <w:vMerge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kWh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gr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kWh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:rsidTr="00F96E2E"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:rsidTr="00F96E2E">
        <w:trPr>
          <w:trHeight w:val="1006"/>
        </w:trPr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Akcyza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3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368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:rsidR="00DA5B67" w:rsidRPr="00DA5B67" w:rsidRDefault="00DA5B67" w:rsidP="00DA5B67">
      <w:pPr>
        <w:ind w:left="7788" w:hanging="7788"/>
        <w:rPr>
          <w:rFonts w:asciiTheme="majorHAnsi" w:hAnsiTheme="majorHAnsi"/>
        </w:rPr>
      </w:pP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>awy o podatku akcyzowym ) = 3,62 zł/</w:t>
      </w:r>
      <w:proofErr w:type="spellStart"/>
      <w:r w:rsidR="00D90364">
        <w:rPr>
          <w:rFonts w:asciiTheme="majorHAnsi" w:hAnsiTheme="majorHAnsi"/>
          <w:i/>
          <w:sz w:val="20"/>
          <w:szCs w:val="20"/>
        </w:rPr>
        <w:t>MWh</w:t>
      </w:r>
      <w:proofErr w:type="spellEnd"/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r w:rsidRPr="00DA5B67">
        <w:rPr>
          <w:rFonts w:asciiTheme="majorHAnsi" w:hAnsiTheme="majorHAnsi" w:cs="ArialMT"/>
          <w:u w:val="single"/>
        </w:rPr>
        <w:t>III Wartość oferty: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3D4AA4" w:rsidRDefault="00ED2B9B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Kwota netto ofert </w:t>
      </w:r>
      <w:r w:rsidR="00DA5B67" w:rsidRPr="00DA5B67">
        <w:rPr>
          <w:rFonts w:asciiTheme="majorHAnsi" w:hAnsiTheme="majorHAnsi" w:cs="ArialMT"/>
        </w:rPr>
        <w:t>wynosi: …………</w:t>
      </w:r>
      <w:r>
        <w:rPr>
          <w:rFonts w:asciiTheme="majorHAnsi" w:hAnsiTheme="majorHAnsi" w:cs="ArialMT"/>
        </w:rPr>
        <w:t>………………………..</w:t>
      </w:r>
      <w:r w:rsidR="00DA5B67" w:rsidRPr="00DA5B67">
        <w:rPr>
          <w:rFonts w:asciiTheme="majorHAnsi" w:hAnsiTheme="majorHAnsi" w:cs="ArialMT"/>
        </w:rPr>
        <w:t>…………………PLN, słownie …………………</w:t>
      </w:r>
      <w:r w:rsidR="00DA5B67" w:rsidRPr="003D4AA4">
        <w:rPr>
          <w:rFonts w:asciiTheme="majorHAnsi" w:hAnsiTheme="majorHAnsi" w:cs="ArialMT"/>
        </w:rPr>
        <w:t>…..…</w:t>
      </w:r>
      <w:r w:rsidR="00DA5B67">
        <w:rPr>
          <w:rFonts w:asciiTheme="majorHAnsi" w:hAnsiTheme="majorHAnsi" w:cs="ArialMT"/>
        </w:rPr>
        <w:t>………………………………………………</w:t>
      </w:r>
      <w:r>
        <w:rPr>
          <w:rFonts w:asciiTheme="majorHAnsi" w:hAnsiTheme="majorHAnsi" w:cs="ArialMT"/>
        </w:rPr>
        <w:t xml:space="preserve"> </w:t>
      </w:r>
      <w:r w:rsidR="00DA5B67">
        <w:rPr>
          <w:rFonts w:asciiTheme="majorHAnsi" w:hAnsiTheme="majorHAnsi" w:cs="ArialMT"/>
        </w:rPr>
        <w:t>……………………………………………………..</w:t>
      </w:r>
      <w:r w:rsidR="00DA5B67" w:rsidRPr="003D4AA4">
        <w:rPr>
          <w:rFonts w:asciiTheme="majorHAnsi" w:hAnsiTheme="majorHAnsi" w:cs="ArialMT"/>
        </w:rPr>
        <w:t>………</w:t>
      </w:r>
      <w:r>
        <w:rPr>
          <w:rFonts w:asciiTheme="majorHAnsi" w:hAnsiTheme="majorHAnsi" w:cs="ArialMT"/>
        </w:rPr>
        <w:t>……………………………………………………………………………………………………………………………………….</w:t>
      </w:r>
      <w:r w:rsidR="00DA5B67" w:rsidRPr="003D4AA4">
        <w:rPr>
          <w:rFonts w:asciiTheme="majorHAnsi" w:hAnsiTheme="majorHAnsi" w:cs="ArialMT"/>
        </w:rPr>
        <w:t>PLN</w:t>
      </w:r>
    </w:p>
    <w:p w:rsidR="00DA5B67" w:rsidRDefault="00DA5B67" w:rsidP="00DA5B67">
      <w:pPr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  <w:b/>
        </w:rPr>
        <w:t xml:space="preserve">i </w:t>
      </w:r>
      <w:r w:rsidRPr="0048748F">
        <w:rPr>
          <w:rFonts w:asciiTheme="majorHAnsi" w:hAnsiTheme="majorHAnsi" w:cs="ArialMT"/>
          <w:b/>
        </w:rPr>
        <w:t xml:space="preserve">stanowi sumę </w:t>
      </w:r>
      <w:r>
        <w:rPr>
          <w:rFonts w:asciiTheme="majorHAnsi" w:hAnsiTheme="majorHAnsi" w:cs="ArialMT"/>
          <w:b/>
        </w:rPr>
        <w:t xml:space="preserve">kwot </w:t>
      </w:r>
      <w:r w:rsidR="00233E02">
        <w:rPr>
          <w:rFonts w:asciiTheme="majorHAnsi" w:hAnsiTheme="majorHAnsi" w:cs="ArialMT"/>
          <w:b/>
        </w:rPr>
        <w:t>netto z</w:t>
      </w:r>
      <w:r>
        <w:rPr>
          <w:rFonts w:asciiTheme="majorHAnsi" w:hAnsiTheme="majorHAnsi" w:cs="ArialMT"/>
          <w:b/>
        </w:rPr>
        <w:t xml:space="preserve"> </w:t>
      </w:r>
      <w:r w:rsidRPr="0048748F">
        <w:rPr>
          <w:rFonts w:asciiTheme="majorHAnsi" w:hAnsiTheme="majorHAnsi" w:cs="ArialMT"/>
          <w:b/>
        </w:rPr>
        <w:t>TABEL 1-3 z punktu 5.</w:t>
      </w:r>
      <w:r w:rsidR="00233E02">
        <w:rPr>
          <w:rFonts w:asciiTheme="majorHAnsi" w:hAnsiTheme="majorHAnsi" w:cs="ArialMT"/>
          <w:b/>
        </w:rPr>
        <w:t>1</w:t>
      </w:r>
      <w:r>
        <w:rPr>
          <w:rFonts w:asciiTheme="majorHAnsi" w:hAnsiTheme="majorHAnsi" w:cs="ArialMT"/>
        </w:rPr>
        <w:t xml:space="preserve">. </w:t>
      </w:r>
      <w:r w:rsidR="00BE3FD1">
        <w:rPr>
          <w:rFonts w:asciiTheme="majorHAnsi" w:hAnsiTheme="majorHAnsi" w:cs="ArialMT"/>
        </w:rPr>
        <w:t xml:space="preserve">którą </w:t>
      </w:r>
      <w:r w:rsidR="00233E02">
        <w:rPr>
          <w:rFonts w:asciiTheme="majorHAnsi" w:hAnsiTheme="majorHAnsi" w:cs="ArialMT"/>
        </w:rPr>
        <w:t>należy przenieść do pkt. 1 a F</w:t>
      </w:r>
      <w:r w:rsidR="00883DA9">
        <w:rPr>
          <w:rFonts w:asciiTheme="majorHAnsi" w:hAnsiTheme="majorHAnsi" w:cs="ArialMT"/>
        </w:rPr>
        <w:t>ormularza Ofertowego Załącznik 2</w:t>
      </w:r>
      <w:r w:rsidR="00233E02">
        <w:rPr>
          <w:rFonts w:asciiTheme="majorHAnsi" w:hAnsiTheme="majorHAnsi" w:cs="ArialMT"/>
        </w:rPr>
        <w:t xml:space="preserve"> do SIWZ; a  do pkt. 1 b ww. Załącznika 8   przenieść kwotę akcyzy z </w:t>
      </w:r>
      <w:r>
        <w:rPr>
          <w:rFonts w:asciiTheme="majorHAnsi" w:hAnsiTheme="majorHAnsi" w:cs="ArialMT"/>
        </w:rPr>
        <w:t>Tabeli 4 – podatek akcyzowy.</w:t>
      </w:r>
    </w:p>
    <w:p w:rsidR="0085062A" w:rsidRDefault="0085062A" w:rsidP="00DA5B67">
      <w:pPr>
        <w:jc w:val="both"/>
        <w:rPr>
          <w:rFonts w:asciiTheme="majorHAnsi" w:hAnsiTheme="majorHAnsi" w:cs="ArialMT"/>
        </w:rPr>
      </w:pPr>
    </w:p>
    <w:p w:rsidR="00DA5B67" w:rsidRPr="0048748F" w:rsidRDefault="00DA5B67" w:rsidP="00DA5B67">
      <w:pPr>
        <w:pStyle w:val="Bezodstpw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748F">
        <w:rPr>
          <w:rFonts w:asciiTheme="majorHAnsi" w:hAnsiTheme="majorHAnsi"/>
        </w:rPr>
        <w:t>………………………………………</w:t>
      </w:r>
    </w:p>
    <w:p w:rsidR="00DA5B67" w:rsidRPr="0048748F" w:rsidRDefault="00DA5B67" w:rsidP="00DA5B67">
      <w:pPr>
        <w:pStyle w:val="Bezodstpw"/>
        <w:ind w:left="5664" w:firstLine="708"/>
        <w:rPr>
          <w:rFonts w:asciiTheme="majorHAnsi" w:hAnsiTheme="majorHAnsi"/>
          <w:sz w:val="16"/>
          <w:szCs w:val="16"/>
        </w:rPr>
      </w:pPr>
      <w:r w:rsidRPr="0048748F">
        <w:rPr>
          <w:rFonts w:asciiTheme="majorHAnsi" w:hAnsiTheme="majorHAnsi"/>
          <w:sz w:val="16"/>
          <w:szCs w:val="16"/>
        </w:rPr>
        <w:t>Data i podpis</w:t>
      </w:r>
    </w:p>
    <w:p w:rsidR="00BE3FD1" w:rsidRPr="00DA5B67" w:rsidRDefault="00BE3FD1" w:rsidP="00BE3FD1">
      <w:pPr>
        <w:widowControl w:val="0"/>
        <w:suppressAutoHyphens/>
        <w:contextualSpacing/>
        <w:jc w:val="both"/>
        <w:rPr>
          <w:rFonts w:asciiTheme="majorHAnsi" w:hAnsiTheme="majorHAnsi"/>
          <w:i/>
          <w:sz w:val="20"/>
          <w:szCs w:val="20"/>
        </w:rPr>
      </w:pPr>
    </w:p>
    <w:p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D4AA4"/>
    <w:rsid w:val="00001C5F"/>
    <w:rsid w:val="000059E1"/>
    <w:rsid w:val="0006738A"/>
    <w:rsid w:val="000935A2"/>
    <w:rsid w:val="000941B3"/>
    <w:rsid w:val="000A7710"/>
    <w:rsid w:val="000E47D4"/>
    <w:rsid w:val="00197AF8"/>
    <w:rsid w:val="0021129D"/>
    <w:rsid w:val="00233E02"/>
    <w:rsid w:val="0023754F"/>
    <w:rsid w:val="002E159A"/>
    <w:rsid w:val="00374963"/>
    <w:rsid w:val="003764BF"/>
    <w:rsid w:val="003D4AA4"/>
    <w:rsid w:val="003E1AA1"/>
    <w:rsid w:val="00405EE1"/>
    <w:rsid w:val="00410815"/>
    <w:rsid w:val="0048748F"/>
    <w:rsid w:val="004D1494"/>
    <w:rsid w:val="00554DC7"/>
    <w:rsid w:val="005C1F34"/>
    <w:rsid w:val="00666AEA"/>
    <w:rsid w:val="006A7CC1"/>
    <w:rsid w:val="006F3B54"/>
    <w:rsid w:val="006F79AB"/>
    <w:rsid w:val="0078665B"/>
    <w:rsid w:val="007D727C"/>
    <w:rsid w:val="007F2C60"/>
    <w:rsid w:val="007F5B18"/>
    <w:rsid w:val="008401A3"/>
    <w:rsid w:val="0084086A"/>
    <w:rsid w:val="0085062A"/>
    <w:rsid w:val="00854ED4"/>
    <w:rsid w:val="0087680A"/>
    <w:rsid w:val="008817B1"/>
    <w:rsid w:val="00883DA9"/>
    <w:rsid w:val="008875D4"/>
    <w:rsid w:val="008A1A94"/>
    <w:rsid w:val="008B0234"/>
    <w:rsid w:val="00954A59"/>
    <w:rsid w:val="00996AE1"/>
    <w:rsid w:val="00A238A9"/>
    <w:rsid w:val="00A7088A"/>
    <w:rsid w:val="00A93113"/>
    <w:rsid w:val="00AC7713"/>
    <w:rsid w:val="00AD407D"/>
    <w:rsid w:val="00AF5A34"/>
    <w:rsid w:val="00B16206"/>
    <w:rsid w:val="00B21C32"/>
    <w:rsid w:val="00B839DA"/>
    <w:rsid w:val="00B928A9"/>
    <w:rsid w:val="00BA0ECB"/>
    <w:rsid w:val="00BE3FD1"/>
    <w:rsid w:val="00C5671E"/>
    <w:rsid w:val="00CE6612"/>
    <w:rsid w:val="00CF1EA0"/>
    <w:rsid w:val="00D562A8"/>
    <w:rsid w:val="00D63D93"/>
    <w:rsid w:val="00D90364"/>
    <w:rsid w:val="00D926FB"/>
    <w:rsid w:val="00DA5B67"/>
    <w:rsid w:val="00DB535B"/>
    <w:rsid w:val="00DC3BAD"/>
    <w:rsid w:val="00DD1B63"/>
    <w:rsid w:val="00DF4DCE"/>
    <w:rsid w:val="00E13D61"/>
    <w:rsid w:val="00E203AE"/>
    <w:rsid w:val="00E33CB1"/>
    <w:rsid w:val="00E4535F"/>
    <w:rsid w:val="00E62DF9"/>
    <w:rsid w:val="00E759CE"/>
    <w:rsid w:val="00E90B32"/>
    <w:rsid w:val="00EC708C"/>
    <w:rsid w:val="00ED2B9B"/>
    <w:rsid w:val="00EE1346"/>
    <w:rsid w:val="00F37D26"/>
    <w:rsid w:val="00F428B8"/>
    <w:rsid w:val="00F9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3B27C-3979-4F91-83C4-05AABF42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19</cp:revision>
  <dcterms:created xsi:type="dcterms:W3CDTF">2018-05-22T08:47:00Z</dcterms:created>
  <dcterms:modified xsi:type="dcterms:W3CDTF">2019-06-03T09:48:00Z</dcterms:modified>
</cp:coreProperties>
</file>